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32" w:lineRule="auto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附件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>1</w:t>
      </w:r>
      <w:bookmarkStart w:id="0" w:name="_GoBack"/>
      <w:bookmarkEnd w:id="0"/>
    </w:p>
    <w:tbl>
      <w:tblPr>
        <w:tblStyle w:val="2"/>
        <w:tblW w:w="9368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right="741" w:rightChars="353"/>
              <w:jc w:val="center"/>
              <w:rPr>
                <w:rFonts w:ascii="华文中宋" w:hAnsi="华文中宋" w:eastAsia="华文中宋" w:cs="宋体"/>
                <w:kern w:val="0"/>
                <w:sz w:val="30"/>
                <w:szCs w:val="30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30"/>
                <w:szCs w:val="30"/>
              </w:rPr>
              <w:t>中央行政单位通用办公设备配置标准表</w:t>
            </w:r>
          </w:p>
        </w:tc>
      </w:tr>
    </w:tbl>
    <w:p>
      <w:pPr>
        <w:spacing w:line="360" w:lineRule="auto"/>
        <w:ind w:firstLine="420" w:firstLineChars="200"/>
        <w:outlineLvl w:val="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                                                             </w:t>
      </w:r>
    </w:p>
    <w:tbl>
      <w:tblPr>
        <w:tblStyle w:val="2"/>
        <w:tblW w:w="9017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371"/>
        <w:gridCol w:w="709"/>
        <w:gridCol w:w="4678"/>
        <w:gridCol w:w="936"/>
        <w:gridCol w:w="851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资产品目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数量上限（台）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价格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上限（元）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最低使用年限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（年）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性能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台式计算机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（含预装正版操作系统软件）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结合单位办公网络布置以及保密管理的规定合理配置。涉密单位台式计算机配置数量上限为单位编制内实有人数的150%；非涉密单位台式计算机配置数量上限为单位编制内实有人数的100%。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5,000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按照《中华人民共和国政府采购法》的规定，配置具有较强安全性、稳定性、兼容性，且能耗低、维修便利的设备，不得配置高端设备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5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便携式计算机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（含预装正版操作系统软件）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便携式计算机配置数量上限为单位编制内实有人数的50%。外勤单位可增加便携式计算机数量，同时酌情减少相应数量的台式计算机。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7,000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打印机</w:t>
            </w:r>
          </w:p>
        </w:tc>
        <w:tc>
          <w:tcPr>
            <w:tcW w:w="3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A4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黑白</w:t>
            </w:r>
          </w:p>
        </w:tc>
        <w:tc>
          <w:tcPr>
            <w:tcW w:w="4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单位A3和A4打印机的配置数量上限按单位编制内实有人数的80%计算，由单位根据工作需要选择配置A3或A4打印机。其中， A3打印机配置数量上限按单位编制内实有人数的15%计算。原则上不配备彩色打印机，确有需要的，经单位资产管理部门负责人同意后根据工作需要合理配置，配置数量上限按单位编制内实有人数的3%计算。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1,200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彩色</w:t>
            </w:r>
          </w:p>
        </w:tc>
        <w:tc>
          <w:tcPr>
            <w:tcW w:w="4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2,000</w:t>
            </w: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A3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黑白</w:t>
            </w:r>
          </w:p>
        </w:tc>
        <w:tc>
          <w:tcPr>
            <w:tcW w:w="4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7,600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彩色</w:t>
            </w:r>
          </w:p>
        </w:tc>
        <w:tc>
          <w:tcPr>
            <w:tcW w:w="4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15,000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票据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打印机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根据机构职能和工作需要合理配置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3,000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复印机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编制内实有人数在100人以内的单位，每20人可以配置1台复印机，不足20人的按20人计算；编制内实有人数在100人以上的单位，超出100人的部分每30人可以配置1台复印机，不足30人的按30人计算。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35,000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6年或复印30万张纸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一体机/传真机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配置数量上限按单位编制内实有人数的30%计算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3,000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扫描仪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配置数量上限按单位编制内实有人数的5%计算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4,000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碎纸机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配置数量上限按单位编制内实有人数的5%计算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1,000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投影仪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编制内实有人数在100人以内的单位，每20人可以配置1台投影仪，不足20人的按20人计算；编制内实有人数在100人以上的单位，超出100人的部分每30人可以配置1台投影仪，不足30人的按30人计算。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spacing w:line="360" w:lineRule="auto"/>
        <w:outlineLvl w:val="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注：价格上限中的价格指单台设备的价格。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CC56F9"/>
    <w:rsid w:val="05CC56F9"/>
    <w:rsid w:val="162A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2021-08-23T09:43:00Z</dcterms:created>
  <dc:creator>lenovo</dc:creator>
  <cp:lastModifiedBy>lenovo</cp:lastModifiedBy>
  <dcterms:modified xsi:type="dcterms:W3CDTF">2021-08-24T03:26:09Z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